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b/>
          <w:bCs/>
          <w:sz w:val="36"/>
          <w:szCs w:val="36"/>
          <w:lang w:val="en-US" w:eastAsia="zh-CN"/>
        </w:rPr>
      </w:pPr>
      <w:r>
        <w:rPr>
          <w:rFonts w:hint="eastAsia"/>
          <w:b/>
          <w:bCs/>
          <w:sz w:val="36"/>
          <w:szCs w:val="36"/>
          <w:lang w:val="en-US" w:eastAsia="zh-CN"/>
        </w:rPr>
        <w:t>关于推进工程、采购项目电子开评标工作的通知</w:t>
      </w:r>
    </w:p>
    <w:p>
      <w:pPr>
        <w:rPr>
          <w:rFonts w:hint="eastAsia"/>
          <w:sz w:val="32"/>
          <w:szCs w:val="32"/>
          <w:lang w:val="en-US" w:eastAsia="zh-CN"/>
        </w:rPr>
      </w:pPr>
    </w:p>
    <w:p>
      <w:pPr>
        <w:widowControl w:val="0"/>
        <w:wordWrap/>
        <w:adjustRightInd/>
        <w:snapToGrid/>
        <w:spacing w:line="480" w:lineRule="exact"/>
        <w:ind w:firstLine="641"/>
        <w:textAlignment w:val="auto"/>
        <w:rPr>
          <w:rFonts w:hint="eastAsia"/>
          <w:sz w:val="32"/>
          <w:szCs w:val="32"/>
          <w:lang w:val="en-US" w:eastAsia="zh-CN"/>
        </w:rPr>
      </w:pPr>
      <w:r>
        <w:rPr>
          <w:rFonts w:hint="eastAsia"/>
          <w:sz w:val="32"/>
          <w:szCs w:val="32"/>
          <w:lang w:val="en-US" w:eastAsia="zh-CN"/>
        </w:rPr>
        <w:t>根据河南省印发《2019年全省公共资源交易管理工作要点》要求，我市近期对工程、采购项目将全面实行电子开评标工作，为规范工程、采购项目招标文件范本，各代理公司要按照以下格式进行制作招标文件，具体格式如下：</w:t>
      </w:r>
    </w:p>
    <w:p>
      <w:pPr>
        <w:widowControl w:val="0"/>
        <w:wordWrap/>
        <w:adjustRightInd/>
        <w:snapToGrid/>
        <w:spacing w:line="480" w:lineRule="exact"/>
        <w:ind w:firstLine="641"/>
        <w:textAlignment w:val="auto"/>
        <w:rPr>
          <w:rFonts w:hint="eastAsia"/>
          <w:sz w:val="32"/>
          <w:szCs w:val="32"/>
          <w:lang w:val="en-US" w:eastAsia="zh-CN"/>
        </w:rPr>
      </w:pPr>
      <w:r>
        <w:rPr>
          <w:rFonts w:hint="eastAsia"/>
          <w:sz w:val="32"/>
          <w:szCs w:val="32"/>
          <w:lang w:val="en-US" w:eastAsia="zh-CN"/>
        </w:rPr>
        <w:t>1、代理机构编制招标文件时，在“投标文件的编制”中要写明“投标人（供应商）请登陆荥阳市公共资源交易中心网站—下载中心—下载中心栏目下载最新版本的投标文件制作工具安装包，并使用安装后的最新版本投标文件制作工具制作电子投标文件（具体制作手册请查询交易中心网站-办事指南-投标文件制作操作手册）”。</w:t>
      </w:r>
    </w:p>
    <w:p>
      <w:pPr>
        <w:widowControl w:val="0"/>
        <w:wordWrap/>
        <w:adjustRightInd/>
        <w:snapToGrid/>
        <w:spacing w:line="480" w:lineRule="exact"/>
        <w:ind w:firstLine="641"/>
        <w:textAlignment w:val="auto"/>
        <w:rPr>
          <w:rFonts w:hint="eastAsia"/>
          <w:sz w:val="32"/>
          <w:szCs w:val="32"/>
          <w:lang w:val="en-US" w:eastAsia="zh-CN"/>
        </w:rPr>
      </w:pPr>
      <w:r>
        <w:rPr>
          <w:rFonts w:hint="eastAsia"/>
          <w:sz w:val="32"/>
          <w:szCs w:val="32"/>
          <w:lang w:val="en-US" w:eastAsia="zh-CN"/>
        </w:rPr>
        <w:t>2、代理机构编制招标文件时，在“投标文件的递交”中要写明“投标文件上传：各投标人（供应商）须在投标截止时间前企业身份认证锁（CA密钥）登陆荥阳市公共资源交易中心网站上传加密的电子投标文件到系统的指定位置。上传时必须得到电脑‘上传成功’的确认回复。请投标人（供应商）在上传时认真检查上传投标文件是否完整、正确。</w:t>
      </w:r>
    </w:p>
    <w:p>
      <w:pPr>
        <w:widowControl w:val="0"/>
        <w:wordWrap/>
        <w:adjustRightInd/>
        <w:snapToGrid/>
        <w:spacing w:line="480" w:lineRule="exact"/>
        <w:ind w:firstLine="641"/>
        <w:textAlignment w:val="auto"/>
        <w:rPr>
          <w:rFonts w:hint="eastAsia"/>
          <w:sz w:val="32"/>
          <w:szCs w:val="32"/>
          <w:lang w:val="en-US" w:eastAsia="zh-CN"/>
        </w:rPr>
      </w:pPr>
      <w:r>
        <w:rPr>
          <w:rFonts w:hint="eastAsia"/>
          <w:sz w:val="32"/>
          <w:szCs w:val="32"/>
          <w:lang w:val="en-US" w:eastAsia="zh-CN"/>
        </w:rPr>
        <w:t>投标人（供应商）在交易中心投标系统无法上传电子投标文件时，请在工作时间及时与荥阳市公共资源交易中心联系。</w:t>
      </w:r>
    </w:p>
    <w:p>
      <w:pPr>
        <w:widowControl w:val="0"/>
        <w:wordWrap/>
        <w:adjustRightInd/>
        <w:snapToGrid/>
        <w:spacing w:line="480" w:lineRule="exact"/>
        <w:ind w:firstLine="641"/>
        <w:textAlignment w:val="auto"/>
        <w:rPr>
          <w:rFonts w:hint="eastAsia"/>
          <w:sz w:val="32"/>
          <w:szCs w:val="32"/>
          <w:lang w:val="en-US" w:eastAsia="zh-CN"/>
        </w:rPr>
      </w:pPr>
      <w:r>
        <w:rPr>
          <w:rFonts w:hint="eastAsia"/>
          <w:sz w:val="32"/>
          <w:szCs w:val="32"/>
          <w:lang w:val="en-US" w:eastAsia="zh-CN"/>
        </w:rPr>
        <w:t>逾期上传/送达的或者未上传/未送达指定地点的投标文件，招标人不予受理。”</w:t>
      </w:r>
    </w:p>
    <w:p>
      <w:pPr>
        <w:widowControl w:val="0"/>
        <w:wordWrap/>
        <w:adjustRightInd/>
        <w:snapToGrid/>
        <w:spacing w:line="480" w:lineRule="exact"/>
        <w:ind w:firstLine="641"/>
        <w:textAlignment w:val="auto"/>
        <w:rPr>
          <w:rFonts w:hint="eastAsia"/>
          <w:sz w:val="32"/>
          <w:szCs w:val="32"/>
          <w:lang w:val="en-US" w:eastAsia="zh-CN"/>
        </w:rPr>
      </w:pPr>
      <w:r>
        <w:rPr>
          <w:rFonts w:hint="eastAsia"/>
          <w:sz w:val="32"/>
          <w:szCs w:val="32"/>
          <w:lang w:val="en-US" w:eastAsia="zh-CN"/>
        </w:rPr>
        <w:t>3、代理机构编制招标文件时，在“开评标”中要写明“开评标：开标时需供应商携带‘企业身份认证锁（CA密钥）’在指定开标室对加密的电子投标文件进行解密，同时携带与加密电子投标文件一致的未加密电子投标文件和纸质投标文件应对突发情况</w:t>
      </w:r>
      <w:bookmarkStart w:id="0" w:name="_GoBack"/>
      <w:bookmarkEnd w:id="0"/>
      <w:r>
        <w:rPr>
          <w:rFonts w:hint="eastAsia"/>
          <w:sz w:val="32"/>
          <w:szCs w:val="32"/>
          <w:lang w:val="en-US" w:eastAsia="zh-CN"/>
        </w:rPr>
        <w:t>；电子开评标时如遇突发情况不能继续开评标的，以纸质投标文件继续开评标。”</w:t>
      </w:r>
    </w:p>
    <w:p>
      <w:pPr>
        <w:widowControl w:val="0"/>
        <w:wordWrap/>
        <w:adjustRightInd/>
        <w:snapToGrid/>
        <w:spacing w:line="480" w:lineRule="exact"/>
        <w:ind w:firstLine="641"/>
        <w:textAlignment w:val="auto"/>
        <w:rPr>
          <w:rFonts w:hint="eastAsia"/>
          <w:sz w:val="32"/>
          <w:szCs w:val="32"/>
          <w:lang w:val="en-US" w:eastAsia="zh-CN"/>
        </w:rPr>
      </w:pPr>
      <w:r>
        <w:rPr>
          <w:rFonts w:hint="eastAsia"/>
          <w:sz w:val="32"/>
          <w:szCs w:val="32"/>
          <w:lang w:val="en-US" w:eastAsia="zh-CN"/>
        </w:rPr>
        <w:t>4、代理机构编制招标文件时，在“评标办法”中要按照以下格式进行编制“评标办法”。</w:t>
      </w:r>
    </w:p>
    <w:tbl>
      <w:tblPr>
        <w:tblW w:w="9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33"/>
        <w:gridCol w:w="1882"/>
        <w:gridCol w:w="1824"/>
        <w:gridCol w:w="2929"/>
      </w:tblGrid>
      <w:tr>
        <w:tc>
          <w:tcPr>
            <w:tcW w:w="736" w:type="dxa"/>
            <w:vAlign w:val="top"/>
          </w:tcPr>
          <w:p>
            <w:pPr>
              <w:rPr>
                <w:rFonts w:hint="eastAsia"/>
                <w:sz w:val="32"/>
                <w:szCs w:val="32"/>
                <w:lang w:val="en-US" w:eastAsia="zh-CN"/>
              </w:rPr>
            </w:pPr>
          </w:p>
        </w:tc>
        <w:tc>
          <w:tcPr>
            <w:tcW w:w="1633" w:type="dxa"/>
            <w:vAlign w:val="top"/>
          </w:tcPr>
          <w:p>
            <w:pPr>
              <w:jc w:val="center"/>
              <w:rPr>
                <w:rFonts w:hint="eastAsia"/>
                <w:sz w:val="32"/>
                <w:szCs w:val="32"/>
                <w:lang w:val="en-US" w:eastAsia="zh-CN"/>
              </w:rPr>
            </w:pPr>
            <w:r>
              <w:rPr>
                <w:rFonts w:hint="eastAsia"/>
                <w:sz w:val="32"/>
                <w:szCs w:val="32"/>
                <w:lang w:val="en-US" w:eastAsia="zh-CN"/>
              </w:rPr>
              <w:t>评审类型</w:t>
            </w:r>
          </w:p>
        </w:tc>
        <w:tc>
          <w:tcPr>
            <w:tcW w:w="1882" w:type="dxa"/>
            <w:vAlign w:val="top"/>
          </w:tcPr>
          <w:p>
            <w:pPr>
              <w:jc w:val="center"/>
              <w:rPr>
                <w:rFonts w:hint="eastAsia"/>
                <w:sz w:val="32"/>
                <w:szCs w:val="32"/>
                <w:lang w:val="en-US" w:eastAsia="zh-CN"/>
              </w:rPr>
            </w:pPr>
          </w:p>
        </w:tc>
        <w:tc>
          <w:tcPr>
            <w:tcW w:w="1824" w:type="dxa"/>
            <w:vAlign w:val="top"/>
          </w:tcPr>
          <w:p>
            <w:pPr>
              <w:jc w:val="center"/>
              <w:rPr>
                <w:rFonts w:hint="default"/>
                <w:sz w:val="32"/>
                <w:szCs w:val="32"/>
                <w:lang w:val="en-US" w:eastAsia="zh-CN"/>
              </w:rPr>
            </w:pPr>
            <w:r>
              <w:rPr>
                <w:rFonts w:hint="eastAsia"/>
                <w:sz w:val="32"/>
                <w:szCs w:val="32"/>
                <w:lang w:val="en-US" w:eastAsia="zh-CN"/>
              </w:rPr>
              <w:t>评审因素</w:t>
            </w:r>
          </w:p>
        </w:tc>
        <w:tc>
          <w:tcPr>
            <w:tcW w:w="2929" w:type="dxa"/>
            <w:vAlign w:val="top"/>
          </w:tcPr>
          <w:p>
            <w:pPr>
              <w:jc w:val="center"/>
              <w:rPr>
                <w:rFonts w:hint="default"/>
                <w:sz w:val="32"/>
                <w:szCs w:val="32"/>
                <w:lang w:val="en-US" w:eastAsia="zh-CN"/>
              </w:rPr>
            </w:pPr>
            <w:r>
              <w:rPr>
                <w:rFonts w:hint="eastAsia"/>
                <w:sz w:val="32"/>
                <w:szCs w:val="32"/>
                <w:lang w:val="en-US" w:eastAsia="zh-CN"/>
              </w:rPr>
              <w:t>评审标准</w:t>
            </w:r>
          </w:p>
        </w:tc>
      </w:tr>
      <w:tr>
        <w:tc>
          <w:tcPr>
            <w:tcW w:w="736" w:type="dxa"/>
            <w:vMerge w:val="restart"/>
            <w:vAlign w:val="center"/>
          </w:tcPr>
          <w:p>
            <w:pPr>
              <w:jc w:val="center"/>
              <w:rPr>
                <w:rFonts w:hint="eastAsia"/>
                <w:sz w:val="32"/>
                <w:szCs w:val="32"/>
                <w:lang w:val="en-US" w:eastAsia="zh-CN"/>
              </w:rPr>
            </w:pPr>
            <w:r>
              <w:rPr>
                <w:rFonts w:hint="eastAsia"/>
                <w:sz w:val="32"/>
                <w:szCs w:val="32"/>
                <w:lang w:val="en-US" w:eastAsia="zh-CN"/>
              </w:rPr>
              <w:t>评</w:t>
            </w:r>
          </w:p>
          <w:p>
            <w:pPr>
              <w:jc w:val="center"/>
              <w:rPr>
                <w:rFonts w:hint="eastAsia"/>
                <w:sz w:val="32"/>
                <w:szCs w:val="32"/>
                <w:lang w:val="en-US" w:eastAsia="zh-CN"/>
              </w:rPr>
            </w:pPr>
            <w:r>
              <w:rPr>
                <w:rFonts w:hint="eastAsia"/>
                <w:sz w:val="32"/>
                <w:szCs w:val="32"/>
                <w:lang w:val="en-US" w:eastAsia="zh-CN"/>
              </w:rPr>
              <w:t>标</w:t>
            </w:r>
          </w:p>
          <w:p>
            <w:pPr>
              <w:jc w:val="center"/>
              <w:rPr>
                <w:rFonts w:hint="eastAsia"/>
                <w:sz w:val="32"/>
                <w:szCs w:val="32"/>
                <w:lang w:val="en-US" w:eastAsia="zh-CN"/>
              </w:rPr>
            </w:pPr>
            <w:r>
              <w:rPr>
                <w:rFonts w:hint="eastAsia"/>
                <w:sz w:val="32"/>
                <w:szCs w:val="32"/>
                <w:lang w:val="en-US" w:eastAsia="zh-CN"/>
              </w:rPr>
              <w:t>办</w:t>
            </w:r>
          </w:p>
          <w:p>
            <w:pPr>
              <w:jc w:val="center"/>
              <w:rPr>
                <w:rFonts w:hint="default"/>
                <w:sz w:val="32"/>
                <w:szCs w:val="32"/>
                <w:lang w:val="en-US" w:eastAsia="zh-CN"/>
              </w:rPr>
            </w:pPr>
            <w:r>
              <w:rPr>
                <w:rFonts w:hint="eastAsia"/>
                <w:sz w:val="32"/>
                <w:szCs w:val="32"/>
                <w:lang w:val="en-US" w:eastAsia="zh-CN"/>
              </w:rPr>
              <w:t>法</w:t>
            </w:r>
          </w:p>
        </w:tc>
        <w:tc>
          <w:tcPr>
            <w:tcW w:w="1633" w:type="dxa"/>
            <w:vMerge w:val="restart"/>
            <w:vAlign w:val="center"/>
          </w:tcPr>
          <w:p>
            <w:pPr>
              <w:jc w:val="center"/>
              <w:rPr>
                <w:rFonts w:hint="default"/>
                <w:sz w:val="32"/>
                <w:szCs w:val="32"/>
                <w:lang w:val="en-US" w:eastAsia="zh-CN"/>
              </w:rPr>
            </w:pPr>
            <w:r>
              <w:rPr>
                <w:rFonts w:hint="eastAsia"/>
                <w:sz w:val="32"/>
                <w:szCs w:val="32"/>
                <w:lang w:val="en-US" w:eastAsia="zh-CN"/>
              </w:rPr>
              <w:t>初步评审</w:t>
            </w:r>
          </w:p>
        </w:tc>
        <w:tc>
          <w:tcPr>
            <w:tcW w:w="1882" w:type="dxa"/>
            <w:vMerge w:val="restart"/>
            <w:vAlign w:val="center"/>
          </w:tcPr>
          <w:p>
            <w:pPr>
              <w:jc w:val="center"/>
              <w:rPr>
                <w:rFonts w:hint="default"/>
                <w:sz w:val="32"/>
                <w:szCs w:val="32"/>
                <w:lang w:val="en-US" w:eastAsia="zh-CN"/>
              </w:rPr>
            </w:pPr>
            <w:r>
              <w:rPr>
                <w:rFonts w:hint="eastAsia"/>
                <w:sz w:val="32"/>
                <w:szCs w:val="32"/>
                <w:lang w:val="en-US" w:eastAsia="zh-CN"/>
              </w:rPr>
              <w:t>形式评审</w:t>
            </w: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continue"/>
            <w:vAlign w:val="center"/>
          </w:tcPr>
          <w:p>
            <w:pPr>
              <w:jc w:val="center"/>
              <w:rPr>
                <w:rFonts w:hint="default"/>
                <w:sz w:val="32"/>
                <w:szCs w:val="32"/>
                <w:lang w:val="en-US" w:eastAsia="zh-CN"/>
              </w:rPr>
            </w:pP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continue"/>
            <w:vAlign w:val="center"/>
          </w:tcPr>
          <w:p>
            <w:pPr>
              <w:jc w:val="center"/>
              <w:rPr>
                <w:rFonts w:hint="default"/>
                <w:sz w:val="32"/>
                <w:szCs w:val="32"/>
                <w:lang w:val="en-US" w:eastAsia="zh-CN"/>
              </w:rPr>
            </w:pP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restart"/>
            <w:vAlign w:val="center"/>
          </w:tcPr>
          <w:p>
            <w:pPr>
              <w:jc w:val="center"/>
              <w:rPr>
                <w:rFonts w:hint="default"/>
                <w:sz w:val="32"/>
                <w:szCs w:val="32"/>
                <w:lang w:val="en-US" w:eastAsia="zh-CN"/>
              </w:rPr>
            </w:pPr>
            <w:r>
              <w:rPr>
                <w:rFonts w:hint="eastAsia"/>
                <w:sz w:val="32"/>
                <w:szCs w:val="32"/>
                <w:lang w:val="en-US" w:eastAsia="zh-CN"/>
              </w:rPr>
              <w:t>资格评审</w:t>
            </w: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continue"/>
            <w:vAlign w:val="center"/>
          </w:tcPr>
          <w:p>
            <w:pPr>
              <w:jc w:val="center"/>
              <w:rPr>
                <w:rFonts w:hint="default"/>
                <w:sz w:val="32"/>
                <w:szCs w:val="32"/>
                <w:lang w:val="en-US" w:eastAsia="zh-CN"/>
              </w:rPr>
            </w:pP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continue"/>
            <w:vAlign w:val="center"/>
          </w:tcPr>
          <w:p>
            <w:pPr>
              <w:jc w:val="center"/>
              <w:rPr>
                <w:rFonts w:hint="default"/>
                <w:sz w:val="32"/>
                <w:szCs w:val="32"/>
                <w:lang w:val="en-US" w:eastAsia="zh-CN"/>
              </w:rPr>
            </w:pP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restart"/>
            <w:vAlign w:val="center"/>
          </w:tcPr>
          <w:p>
            <w:pPr>
              <w:jc w:val="center"/>
              <w:rPr>
                <w:rFonts w:hint="default"/>
                <w:sz w:val="32"/>
                <w:szCs w:val="32"/>
                <w:lang w:val="en-US" w:eastAsia="zh-CN"/>
              </w:rPr>
            </w:pPr>
            <w:r>
              <w:rPr>
                <w:rFonts w:hint="eastAsia"/>
                <w:sz w:val="32"/>
                <w:szCs w:val="32"/>
                <w:lang w:val="en-US" w:eastAsia="zh-CN"/>
              </w:rPr>
              <w:t>响应性评审</w:t>
            </w: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continue"/>
            <w:vAlign w:val="center"/>
          </w:tcPr>
          <w:p>
            <w:pPr>
              <w:jc w:val="center"/>
              <w:rPr>
                <w:rFonts w:hint="default"/>
                <w:sz w:val="32"/>
                <w:szCs w:val="32"/>
                <w:lang w:val="en-US" w:eastAsia="zh-CN"/>
              </w:rPr>
            </w:pP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restart"/>
            <w:vAlign w:val="center"/>
          </w:tcPr>
          <w:p>
            <w:pPr>
              <w:jc w:val="center"/>
              <w:rPr>
                <w:rFonts w:hint="default"/>
                <w:sz w:val="32"/>
                <w:szCs w:val="32"/>
                <w:lang w:val="en-US" w:eastAsia="zh-CN"/>
              </w:rPr>
            </w:pPr>
            <w:r>
              <w:rPr>
                <w:rFonts w:hint="eastAsia"/>
                <w:sz w:val="32"/>
                <w:szCs w:val="32"/>
                <w:lang w:val="en-US" w:eastAsia="zh-CN"/>
              </w:rPr>
              <w:t>详细评审</w:t>
            </w:r>
          </w:p>
        </w:tc>
        <w:tc>
          <w:tcPr>
            <w:tcW w:w="1882" w:type="dxa"/>
            <w:vMerge w:val="restart"/>
            <w:vAlign w:val="center"/>
          </w:tcPr>
          <w:p>
            <w:pPr>
              <w:jc w:val="center"/>
              <w:rPr>
                <w:rFonts w:hint="default"/>
                <w:sz w:val="32"/>
                <w:szCs w:val="32"/>
                <w:lang w:val="en-US" w:eastAsia="zh-CN"/>
              </w:rPr>
            </w:pPr>
            <w:r>
              <w:rPr>
                <w:rFonts w:hint="eastAsia"/>
                <w:sz w:val="32"/>
                <w:szCs w:val="32"/>
                <w:lang w:val="en-US" w:eastAsia="zh-CN"/>
              </w:rPr>
              <w:t>经济标评分</w:t>
            </w: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continue"/>
            <w:vAlign w:val="center"/>
          </w:tcPr>
          <w:p>
            <w:pPr>
              <w:jc w:val="center"/>
              <w:rPr>
                <w:rFonts w:hint="default"/>
                <w:sz w:val="32"/>
                <w:szCs w:val="32"/>
                <w:lang w:val="en-US" w:eastAsia="zh-CN"/>
              </w:rPr>
            </w:pP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restart"/>
            <w:vAlign w:val="center"/>
          </w:tcPr>
          <w:p>
            <w:pPr>
              <w:jc w:val="center"/>
              <w:rPr>
                <w:rFonts w:hint="default"/>
                <w:sz w:val="32"/>
                <w:szCs w:val="32"/>
                <w:lang w:val="en-US" w:eastAsia="zh-CN"/>
              </w:rPr>
            </w:pPr>
            <w:r>
              <w:rPr>
                <w:rFonts w:hint="eastAsia"/>
                <w:sz w:val="32"/>
                <w:szCs w:val="32"/>
                <w:lang w:val="en-US" w:eastAsia="zh-CN"/>
              </w:rPr>
              <w:t>技术标评分</w:t>
            </w: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continue"/>
            <w:vAlign w:val="center"/>
          </w:tcPr>
          <w:p>
            <w:pPr>
              <w:jc w:val="center"/>
              <w:rPr>
                <w:rFonts w:hint="default"/>
                <w:sz w:val="32"/>
                <w:szCs w:val="32"/>
                <w:lang w:val="en-US" w:eastAsia="zh-CN"/>
              </w:rPr>
            </w:pP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restart"/>
            <w:vAlign w:val="center"/>
          </w:tcPr>
          <w:p>
            <w:pPr>
              <w:jc w:val="center"/>
              <w:rPr>
                <w:rFonts w:hint="default"/>
                <w:sz w:val="32"/>
                <w:szCs w:val="32"/>
                <w:lang w:val="en-US" w:eastAsia="zh-CN"/>
              </w:rPr>
            </w:pPr>
            <w:r>
              <w:rPr>
                <w:rFonts w:hint="eastAsia"/>
                <w:sz w:val="32"/>
                <w:szCs w:val="32"/>
                <w:lang w:val="en-US" w:eastAsia="zh-CN"/>
              </w:rPr>
              <w:t>综合标评分</w:t>
            </w: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Merge w:val="continue"/>
            <w:vAlign w:val="center"/>
          </w:tcPr>
          <w:p>
            <w:pPr>
              <w:jc w:val="center"/>
              <w:rPr>
                <w:rFonts w:hint="default"/>
                <w:sz w:val="32"/>
                <w:szCs w:val="32"/>
                <w:lang w:val="en-US" w:eastAsia="zh-CN"/>
              </w:rPr>
            </w:pP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restart"/>
            <w:vAlign w:val="center"/>
          </w:tcPr>
          <w:p>
            <w:pPr>
              <w:jc w:val="center"/>
              <w:rPr>
                <w:rFonts w:hint="default"/>
                <w:sz w:val="32"/>
                <w:szCs w:val="32"/>
                <w:lang w:val="en-US" w:eastAsia="zh-CN"/>
              </w:rPr>
            </w:pPr>
            <w:r>
              <w:rPr>
                <w:rFonts w:hint="eastAsia"/>
                <w:sz w:val="32"/>
                <w:szCs w:val="32"/>
                <w:lang w:val="en-US" w:eastAsia="zh-CN"/>
              </w:rPr>
              <w:t>废标条款</w:t>
            </w:r>
          </w:p>
        </w:tc>
        <w:tc>
          <w:tcPr>
            <w:tcW w:w="1882" w:type="dxa"/>
            <w:vAlign w:val="center"/>
          </w:tcPr>
          <w:p>
            <w:pPr>
              <w:jc w:val="center"/>
              <w:rPr>
                <w:rFonts w:hint="default"/>
                <w:sz w:val="32"/>
                <w:szCs w:val="32"/>
                <w:lang w:val="en-US" w:eastAsia="zh-CN"/>
              </w:rPr>
            </w:pP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rPr>
          <w:trHeight w:val="90" w:hRule="atLeast"/>
        </w:trPr>
        <w:tc>
          <w:tcPr>
            <w:tcW w:w="736" w:type="dxa"/>
            <w:vMerge w:val="continue"/>
            <w:vAlign w:val="top"/>
          </w:tcPr>
          <w:p>
            <w:pPr>
              <w:rPr>
                <w:rFonts w:hint="default"/>
                <w:sz w:val="32"/>
                <w:szCs w:val="32"/>
                <w:lang w:val="en-US" w:eastAsia="zh-CN"/>
              </w:rPr>
            </w:pPr>
          </w:p>
        </w:tc>
        <w:tc>
          <w:tcPr>
            <w:tcW w:w="1633" w:type="dxa"/>
            <w:vMerge w:val="continue"/>
            <w:vAlign w:val="center"/>
          </w:tcPr>
          <w:p>
            <w:pPr>
              <w:jc w:val="center"/>
              <w:rPr>
                <w:rFonts w:hint="default"/>
                <w:sz w:val="32"/>
                <w:szCs w:val="32"/>
                <w:lang w:val="en-US" w:eastAsia="zh-CN"/>
              </w:rPr>
            </w:pPr>
          </w:p>
        </w:tc>
        <w:tc>
          <w:tcPr>
            <w:tcW w:w="1882" w:type="dxa"/>
            <w:vAlign w:val="center"/>
          </w:tcPr>
          <w:p>
            <w:pPr>
              <w:jc w:val="center"/>
              <w:rPr>
                <w:rFonts w:hint="default"/>
                <w:sz w:val="32"/>
                <w:szCs w:val="32"/>
                <w:lang w:val="en-US" w:eastAsia="zh-CN"/>
              </w:rPr>
            </w:pP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r>
        <w:tc>
          <w:tcPr>
            <w:tcW w:w="736" w:type="dxa"/>
            <w:vMerge w:val="continue"/>
            <w:vAlign w:val="top"/>
          </w:tcPr>
          <w:p>
            <w:pPr>
              <w:rPr>
                <w:rFonts w:hint="default"/>
                <w:sz w:val="32"/>
                <w:szCs w:val="32"/>
                <w:lang w:val="en-US" w:eastAsia="zh-CN"/>
              </w:rPr>
            </w:pPr>
          </w:p>
        </w:tc>
        <w:tc>
          <w:tcPr>
            <w:tcW w:w="1633" w:type="dxa"/>
            <w:vMerge w:val="continue"/>
            <w:vAlign w:val="top"/>
          </w:tcPr>
          <w:p>
            <w:pPr>
              <w:rPr>
                <w:rFonts w:hint="default"/>
                <w:sz w:val="32"/>
                <w:szCs w:val="32"/>
                <w:lang w:val="en-US" w:eastAsia="zh-CN"/>
              </w:rPr>
            </w:pPr>
          </w:p>
        </w:tc>
        <w:tc>
          <w:tcPr>
            <w:tcW w:w="1882" w:type="dxa"/>
            <w:vAlign w:val="top"/>
          </w:tcPr>
          <w:p>
            <w:pPr>
              <w:jc w:val="center"/>
              <w:rPr>
                <w:rFonts w:hint="default"/>
                <w:sz w:val="32"/>
                <w:szCs w:val="32"/>
                <w:lang w:val="en-US" w:eastAsia="zh-CN"/>
              </w:rPr>
            </w:pPr>
          </w:p>
        </w:tc>
        <w:tc>
          <w:tcPr>
            <w:tcW w:w="1824" w:type="dxa"/>
            <w:vAlign w:val="top"/>
          </w:tcPr>
          <w:p>
            <w:pPr>
              <w:rPr>
                <w:rFonts w:hint="default"/>
                <w:sz w:val="32"/>
                <w:szCs w:val="32"/>
                <w:lang w:val="en-US" w:eastAsia="zh-CN"/>
              </w:rPr>
            </w:pPr>
          </w:p>
        </w:tc>
        <w:tc>
          <w:tcPr>
            <w:tcW w:w="2929" w:type="dxa"/>
            <w:vAlign w:val="top"/>
          </w:tcPr>
          <w:p>
            <w:pPr>
              <w:rPr>
                <w:rFonts w:hint="default"/>
                <w:sz w:val="32"/>
                <w:szCs w:val="32"/>
                <w:lang w:val="en-US" w:eastAsia="zh-CN"/>
              </w:rPr>
            </w:pPr>
          </w:p>
        </w:tc>
      </w:tr>
    </w:tbl>
    <w:p>
      <w:pPr>
        <w:ind w:firstLine="640"/>
        <w:rPr>
          <w:rFonts w:hint="default"/>
          <w:sz w:val="32"/>
          <w:szCs w:val="32"/>
          <w:lang w:val="en-US" w:eastAsia="zh-CN"/>
        </w:rPr>
      </w:pPr>
    </w:p>
    <w:sectPr>
      <w:pgSz w:w="11906" w:h="16838"/>
      <w:pgMar w:top="1417" w:right="1417" w:bottom="1417" w:left="1701"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4">
    <w:name w:val="Strong"/>
    <w:basedOn w:val="3"/>
    <w:qFormat/>
    <w:uiPriority w:val="0"/>
    <w:rPr/>
  </w:style>
  <w:style w:type="character" w:styleId="5">
    <w:name w:val="FollowedHyperlink"/>
    <w:basedOn w:val="3"/>
    <w:qFormat/>
    <w:uiPriority w:val="0"/>
    <w:rPr>
      <w:color w:val="800080"/>
      <w:u w:val="none"/>
    </w:rPr>
  </w:style>
  <w:style w:type="character" w:styleId="6">
    <w:name w:val="Emphasis"/>
    <w:basedOn w:val="3"/>
    <w:qFormat/>
    <w:uiPriority w:val="0"/>
    <w:rPr/>
  </w:style>
  <w:style w:type="character" w:styleId="7">
    <w:name w:val="HTML Definition"/>
    <w:basedOn w:val="3"/>
    <w:qFormat/>
    <w:uiPriority w:val="0"/>
    <w:rPr/>
  </w:style>
  <w:style w:type="character" w:styleId="8">
    <w:name w:val="HTML Typewriter"/>
    <w:basedOn w:val="3"/>
    <w:qFormat/>
    <w:uiPriority w:val="0"/>
    <w:rPr>
      <w:rFonts w:ascii="monospace" w:hAnsi="monospace" w:eastAsia="monospace" w:cs="monospace"/>
      <w:sz w:val="20"/>
    </w:rPr>
  </w:style>
  <w:style w:type="character" w:styleId="9">
    <w:name w:val="HTML Acronym"/>
    <w:basedOn w:val="3"/>
    <w:qFormat/>
    <w:uiPriority w:val="0"/>
    <w:rPr/>
  </w:style>
  <w:style w:type="character" w:styleId="10">
    <w:name w:val="HTML Variable"/>
    <w:basedOn w:val="3"/>
    <w:qFormat/>
    <w:uiPriority w:val="0"/>
    <w:rPr/>
  </w:style>
  <w:style w:type="character" w:styleId="11">
    <w:name w:val="Hyperlink"/>
    <w:basedOn w:val="3"/>
    <w:qFormat/>
    <w:uiPriority w:val="0"/>
    <w:rPr>
      <w:color w:val="0000FF"/>
      <w:u w:val="none"/>
    </w:rPr>
  </w:style>
  <w:style w:type="character" w:styleId="12">
    <w:name w:val="HTML Code"/>
    <w:basedOn w:val="3"/>
    <w:qFormat/>
    <w:uiPriority w:val="0"/>
    <w:rPr>
      <w:rFonts w:hint="default" w:ascii="monospace" w:hAnsi="monospace" w:eastAsia="monospace" w:cs="monospace"/>
      <w:sz w:val="20"/>
    </w:rPr>
  </w:style>
  <w:style w:type="character" w:styleId="13">
    <w:name w:val="HTML Cite"/>
    <w:basedOn w:val="3"/>
    <w:qFormat/>
    <w:uiPriority w:val="0"/>
    <w:rPr/>
  </w:style>
  <w:style w:type="character" w:styleId="14">
    <w:name w:val="HTML Keyboard"/>
    <w:basedOn w:val="3"/>
    <w:qFormat/>
    <w:uiPriority w:val="0"/>
    <w:rPr>
      <w:rFonts w:hint="default" w:ascii="monospace" w:hAnsi="monospace" w:eastAsia="monospace" w:cs="monospace"/>
      <w:sz w:val="20"/>
    </w:rPr>
  </w:style>
  <w:style w:type="character" w:styleId="15">
    <w:name w:val="HTML Sample"/>
    <w:basedOn w:val="3"/>
    <w:uiPriority w:val="0"/>
    <w:rPr>
      <w:rFonts w:hint="default" w:ascii="monospace" w:hAnsi="monospace" w:eastAsia="monospace" w:cs="monospace"/>
    </w:rPr>
  </w:style>
  <w:style w:type="paragraph" w:customStyle="1" w:styleId="16">
    <w:name w:val="p0"/>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2019-03-19T07:42:00Z</dcterms:created>
  <dc:creator>acer-1</dc:creator>
  <cp:lastModifiedBy>acer-1</cp:lastModifiedBy>
  <cp:lastPrinted>2019-03-26T06:45:00Z</cp:lastPrinted>
  <dcterms:modified xsi:type="dcterms:W3CDTF">2019-03-28T08:13:02Z</dcterms:modified>
  <dc:title>关于推进工程、采购项目电子开评标工作的通知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