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right="0"/>
        <w:jc w:val="both"/>
        <w:rPr>
          <w:rFonts w:hint="eastAsia" w:ascii="仿宋" w:hAnsi="仿宋" w:eastAsia="仿宋" w:cs="仿宋"/>
          <w:color w:val="0D203D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D203D"/>
          <w:sz w:val="32"/>
          <w:szCs w:val="32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color w:val="0D203D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0D203D"/>
          <w:sz w:val="44"/>
          <w:szCs w:val="44"/>
          <w:lang w:eastAsia="zh-CN"/>
        </w:rPr>
        <w:t>荥阳</w:t>
      </w:r>
      <w:r>
        <w:rPr>
          <w:rFonts w:hint="eastAsia" w:ascii="黑体" w:hAnsi="黑体" w:eastAsia="黑体" w:cs="黑体"/>
          <w:b/>
          <w:bCs/>
          <w:color w:val="0D203D"/>
          <w:sz w:val="44"/>
          <w:szCs w:val="44"/>
        </w:rPr>
        <w:t>市公共资源交易平台</w:t>
      </w:r>
      <w:r>
        <w:rPr>
          <w:rFonts w:hint="eastAsia" w:ascii="黑体" w:hAnsi="黑体" w:eastAsia="黑体" w:cs="黑体"/>
          <w:b/>
          <w:bCs/>
          <w:color w:val="0D203D"/>
          <w:sz w:val="44"/>
          <w:szCs w:val="44"/>
          <w:lang w:eastAsia="zh-CN"/>
        </w:rPr>
        <w:t>在线</w:t>
      </w:r>
      <w:r>
        <w:rPr>
          <w:rFonts w:hint="eastAsia" w:ascii="黑体" w:hAnsi="黑体" w:eastAsia="黑体" w:cs="黑体"/>
          <w:b/>
          <w:bCs/>
          <w:color w:val="0D203D"/>
          <w:sz w:val="44"/>
          <w:szCs w:val="44"/>
        </w:rPr>
        <w:t>投诉受理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D203D"/>
          <w:sz w:val="44"/>
          <w:szCs w:val="44"/>
        </w:rPr>
        <w:t>工作手册</w:t>
      </w:r>
    </w:p>
    <w:bookmarkEnd w:id="0"/>
    <w:p>
      <w:pPr>
        <w:numPr>
          <w:ilvl w:val="0"/>
          <w:numId w:val="0"/>
        </w:numPr>
        <w:ind w:leftChars="20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1、登录荥阳市公共资源交易中心首页，点击“交易中心登录”，如下图所示: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936615" cy="3903980"/>
            <wp:effectExtent l="0" t="0" r="6985" b="1270"/>
            <wp:docPr id="14" name="图片 14" descr="168794125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941258785"/>
                    <pic:cNvPicPr>
                      <a:picLocks noChangeAspect="1"/>
                    </pic:cNvPicPr>
                  </pic:nvPicPr>
                  <pic:blipFill>
                    <a:blip r:embed="rId4"/>
                    <a:srcRect b="546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2、使用监督部门CA钥匙输入密码登录，如下图所示：</w:t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931535" cy="2797175"/>
            <wp:effectExtent l="0" t="0" r="12065" b="3175"/>
            <wp:docPr id="15" name="图片 15" descr="168794140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7941402977"/>
                    <pic:cNvPicPr>
                      <a:picLocks noChangeAspect="1"/>
                    </pic:cNvPicPr>
                  </pic:nvPicPr>
                  <pic:blipFill>
                    <a:blip r:embed="rId5"/>
                    <a:srcRect b="890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3、点击左侧“投诉处理”，进入投诉受理页面，点击右侧“操作”下方按钮。如下图所示：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193294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4、查看投诉详情，若“不予受理”，在“03相关附件—回复投诉相关附件”中，上传“不予受理决定书”，点击“不受理”退回。如“受理”点击左上角“受理”按钮确认受理。如下图所示：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155" cy="3211195"/>
            <wp:effectExtent l="0" t="0" r="4445" b="8255"/>
            <wp:docPr id="16" name="图片 16" descr="a8f64bad6e0c74466460eed1a85f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8f64bad6e0c74466460eed1a85f0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监督部门按照法律法规时间要求，进行调查取证，取证完毕后，在“02项受理部门回复”栏目填写投诉处理决定内容，并在“03相关附件—回复投诉相关附件”中，上传“投诉处理结果文件”电子件，最后点击左上角“调查取证完毕提交”按钮，即可完成投诉处理。如下图所示：</w:t>
      </w:r>
    </w:p>
    <w:p>
      <w:pPr>
        <w:numPr>
          <w:ilvl w:val="0"/>
          <w:numId w:val="0"/>
        </w:numPr>
        <w:ind w:leftChars="0" w:firstLine="420" w:firstLineChars="200"/>
      </w:pPr>
      <w:r>
        <w:drawing>
          <wp:inline distT="0" distB="0" distL="114300" distR="114300">
            <wp:extent cx="5266690" cy="2847975"/>
            <wp:effectExtent l="0" t="0" r="1016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4YWQ3OGEyNmMwNGUxYzRkMmQ3YmYzZTBmYWQyMTcifQ=="/>
  </w:docVars>
  <w:rsids>
    <w:rsidRoot w:val="084330C5"/>
    <w:rsid w:val="0843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2023-06-28T09:46:00Z</dcterms:created>
  <dc:creator>陈恒</dc:creator>
  <cp:lastModifiedBy>陈恒</cp:lastModifiedBy>
  <dcterms:modified xsi:type="dcterms:W3CDTF">2023-06-28T09:46:57Z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855036DCFB4541B5ABDCBC49C5CC39D2</vt:lpwstr>
  </property>
</Properties>
</file>